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 w:rsidP="003B50CC">
      <w:pPr>
        <w:jc w:val="center"/>
      </w:pPr>
    </w:p>
    <w:p w:rsidR="002A1780" w:rsidRDefault="002A1780" w:rsidP="002A1780">
      <w:pPr>
        <w:autoSpaceDE w:val="0"/>
        <w:autoSpaceDN w:val="0"/>
        <w:adjustRightInd w:val="0"/>
        <w:rPr>
          <w:b/>
          <w:color w:val="333333"/>
          <w:u w:val="single"/>
        </w:rPr>
      </w:pPr>
    </w:p>
    <w:p w:rsidR="002A1780" w:rsidRDefault="002A1780" w:rsidP="002A1780">
      <w:pPr>
        <w:autoSpaceDE w:val="0"/>
        <w:autoSpaceDN w:val="0"/>
        <w:adjustRightInd w:val="0"/>
        <w:rPr>
          <w:b/>
          <w:color w:val="333333"/>
          <w:u w:val="single"/>
        </w:rPr>
      </w:pPr>
    </w:p>
    <w:p w:rsidR="002A1780" w:rsidRDefault="002A1780" w:rsidP="002A1780">
      <w:pPr>
        <w:autoSpaceDE w:val="0"/>
        <w:autoSpaceDN w:val="0"/>
        <w:adjustRightInd w:val="0"/>
        <w:rPr>
          <w:b/>
          <w:color w:val="333333"/>
          <w:u w:val="single"/>
        </w:rPr>
      </w:pPr>
      <w:r>
        <w:rPr>
          <w:b/>
          <w:color w:val="333333"/>
          <w:u w:val="single"/>
        </w:rPr>
        <w:t>Was passiert in einem Verdachtsfall?</w:t>
      </w:r>
    </w:p>
    <w:p w:rsidR="002A1780" w:rsidRDefault="002A1780" w:rsidP="002A1780">
      <w:pPr>
        <w:autoSpaceDE w:val="0"/>
        <w:autoSpaceDN w:val="0"/>
        <w:adjustRightInd w:val="0"/>
        <w:rPr>
          <w:color w:val="333333"/>
        </w:rPr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Ruhe bewahren</w:t>
      </w:r>
    </w:p>
    <w:p w:rsidR="002A1780" w:rsidRDefault="002A1780" w:rsidP="002A1780">
      <w:pPr>
        <w:autoSpaceDE w:val="0"/>
        <w:autoSpaceDN w:val="0"/>
        <w:adjustRightInd w:val="0"/>
      </w:pPr>
      <w:r>
        <w:t>Nichts überstürzen! Voreilige Handlungsschritte können die Situation nur noch verschlimmern.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Offenheit gegenüber dem Kind /dem Jugendlichen</w:t>
      </w:r>
    </w:p>
    <w:p w:rsidR="002A1780" w:rsidRDefault="002A1780" w:rsidP="002A1780">
      <w:pPr>
        <w:autoSpaceDE w:val="0"/>
        <w:autoSpaceDN w:val="0"/>
        <w:adjustRightInd w:val="0"/>
      </w:pPr>
      <w:r>
        <w:t>Betroffenen Kindern und Jugendlichen vertrauensvoll begegnen, ohne sie zu bedrängen.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Genau beobachten</w:t>
      </w:r>
    </w:p>
    <w:p w:rsidR="002A1780" w:rsidRDefault="002A1780" w:rsidP="002A1780">
      <w:pPr>
        <w:autoSpaceDE w:val="0"/>
        <w:autoSpaceDN w:val="0"/>
        <w:adjustRightInd w:val="0"/>
      </w:pPr>
      <w:r>
        <w:t>Das Verhalten des Kindes / Jugendlichen genau beobachten und diese Beobachtungen aufschreiben. Dabei auf eine klare Trennung zwischen Beobachtungen und eigenen Schlussfolgerungen achten.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Auf sich selbst achten 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Sich mit den eigenen Gefühlen und Ängsten auseinandersetzen. Solche Fälle und Situationen </w:t>
      </w:r>
      <w:proofErr w:type="gramStart"/>
      <w:r>
        <w:t>kann</w:t>
      </w:r>
      <w:proofErr w:type="gramEnd"/>
      <w:r>
        <w:t xml:space="preserve"> und soll niemand alleine lösen.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Nicht eigenmächtig handeln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Austausch mit anderen </w:t>
      </w:r>
      <w:proofErr w:type="spellStart"/>
      <w:r>
        <w:t>BetreuerInnen</w:t>
      </w:r>
      <w:proofErr w:type="spellEnd"/>
      <w:r>
        <w:t>, denen man vertraut, über Informationen, Gefühle, Wahrnehmungen und Beobachtungen.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Vorsicht bei vorschnellen Anschuldigungen </w:t>
      </w:r>
    </w:p>
    <w:p w:rsidR="002A1780" w:rsidRDefault="002A1780" w:rsidP="002A1780">
      <w:pPr>
        <w:autoSpaceDE w:val="0"/>
        <w:autoSpaceDN w:val="0"/>
        <w:adjustRightInd w:val="0"/>
      </w:pPr>
      <w:r>
        <w:t>Gerüchte vermeiden und die Situation vertraulich behandeln. Den vermeintlichen Täter/die vermeintliche Täterin auf keinen Fall mit dem Verdacht konfrontieren. Daraufhin könnte er/sie verstärkt Druck auf das Kind /den Jugendlichen ausüben.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Information des Vereinsvorstandes</w:t>
      </w:r>
    </w:p>
    <w:p w:rsidR="002A1780" w:rsidRDefault="002A1780" w:rsidP="002A1780">
      <w:pPr>
        <w:autoSpaceDE w:val="0"/>
        <w:autoSpaceDN w:val="0"/>
        <w:adjustRightInd w:val="0"/>
      </w:pPr>
      <w:r>
        <w:t>Rechtzeitige Information der Ansprechperson des Vereins / Verbands über die Beobachtungen. Mit dessen Unterstützung das weitere Vorgehen planen.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b/>
        </w:rPr>
      </w:pPr>
      <w:r>
        <w:rPr>
          <w:b/>
        </w:rPr>
        <w:t>Generell gilt: Unterstützung holen</w:t>
      </w:r>
    </w:p>
    <w:p w:rsidR="002A1780" w:rsidRDefault="002A1780" w:rsidP="002A1780">
      <w:pPr>
        <w:autoSpaceDE w:val="0"/>
        <w:autoSpaceDN w:val="0"/>
        <w:adjustRightInd w:val="0"/>
      </w:pPr>
      <w:r>
        <w:t>Kontakt zu der Ansprechperson des Vereins / Verbands, die für solche Fälle benannt wurde, aufnehmen. Gemeinsame Beratung über weitere Schritte, z. B. Kontakt zu den Eltern, einer Beratungsstelle oder Behörden.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t xml:space="preserve">- Die Ermittlungs- und Aufklärungsarbeit im Verein ist Sache der Polizei und der 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Staatsanwaltschaft.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Wer die Betroffenen eigenmächtig ausfragt („Verhör“), gefährdet spätere Ermittlungen.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 xml:space="preserve">Nachfragen im Umfeld der Abteilung schaffen Unsicherheiten und beliefern die   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„Gerüchteküche“.</w:t>
      </w: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Handlungsschritte sollten nur in Absprache mit den Betroffenen vereinbart werden.</w:t>
      </w:r>
    </w:p>
    <w:p w:rsidR="002A1780" w:rsidRDefault="002A1780" w:rsidP="002A1780">
      <w:pPr>
        <w:autoSpaceDE w:val="0"/>
        <w:autoSpaceDN w:val="0"/>
        <w:adjustRightInd w:val="0"/>
        <w:rPr>
          <w:rFonts w:eastAsia="PFDinTextPro-ExtraBlack"/>
        </w:rPr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Die Einschaltung der Ermittlungsbehörden bedingt immer einen „Strafverfolgungszwang“,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d.h. eine Anzeige kann nicht zurück genommen werden. Daher sollte dieser Schritt nur in 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Absprache mit den Betroffenen, der Fachberatungsstelle und ggf. den gesetzlichen 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Vertretern getroffen werden.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Jede Maßnahme sollte in jedem Fall mit Fachberatungsstellen vor Ort abgesprochen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 werden.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Die Erziehungsberechtigten sollten nur angesprochen werden, wenn sie in den sexuellen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 Missbrauch nicht involviert </w:t>
      </w:r>
      <w:proofErr w:type="gramStart"/>
      <w:r>
        <w:t>sind</w:t>
      </w:r>
      <w:proofErr w:type="gramEnd"/>
      <w:r>
        <w:t>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Der „Täter“ darf nicht eigenmächtig zur Rede gestellt werden.</w:t>
      </w:r>
    </w:p>
    <w:p w:rsidR="002A1780" w:rsidRDefault="002A1780" w:rsidP="002A1780">
      <w:pPr>
        <w:autoSpaceDE w:val="0"/>
        <w:autoSpaceDN w:val="0"/>
        <w:adjustRightInd w:val="0"/>
      </w:pPr>
    </w:p>
    <w:p w:rsidR="002A1780" w:rsidRDefault="002A1780" w:rsidP="002A1780">
      <w:pPr>
        <w:autoSpaceDE w:val="0"/>
        <w:autoSpaceDN w:val="0"/>
        <w:adjustRightInd w:val="0"/>
      </w:pPr>
      <w:r>
        <w:rPr>
          <w:rFonts w:eastAsia="PFDinTextPro-ExtraBlack"/>
        </w:rPr>
        <w:t xml:space="preserve">- </w:t>
      </w:r>
      <w:r>
        <w:t>Gegebenenfalls kann die VIBSS – Rechtsberatung des Landessportbundes NRW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 einbezogen werden.</w:t>
      </w:r>
    </w:p>
    <w:p w:rsidR="002A1780" w:rsidRDefault="002A1780" w:rsidP="002A1780">
      <w:pPr>
        <w:autoSpaceDE w:val="0"/>
        <w:autoSpaceDN w:val="0"/>
        <w:adjustRightInd w:val="0"/>
      </w:pPr>
      <w:r>
        <w:t xml:space="preserve"> </w:t>
      </w:r>
    </w:p>
    <w:p w:rsidR="002A1780" w:rsidRDefault="002A1780" w:rsidP="002A1780">
      <w:r>
        <w:rPr>
          <w:rFonts w:eastAsia="PFDinTextPro-ExtraBlack"/>
        </w:rPr>
        <w:t xml:space="preserve">- </w:t>
      </w:r>
      <w:r>
        <w:t>Pressearbeit darf nur über den Vorstand betrieben werden.</w:t>
      </w:r>
    </w:p>
    <w:p w:rsidR="002A1780" w:rsidRDefault="002A1780" w:rsidP="002A1780">
      <w:pPr>
        <w:rPr>
          <w:noProof/>
          <w:sz w:val="22"/>
        </w:rPr>
      </w:pPr>
    </w:p>
    <w:p w:rsidR="006C1BE8" w:rsidRDefault="006C1BE8">
      <w:pPr>
        <w:rPr>
          <w:b/>
          <w:noProof/>
          <w:sz w:val="32"/>
          <w:szCs w:val="32"/>
          <w:u w:val="single"/>
        </w:rPr>
      </w:pPr>
    </w:p>
    <w:sectPr w:rsidR="006C1BE8" w:rsidSect="00346C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97B" w:rsidRDefault="000B197B">
      <w:r>
        <w:separator/>
      </w:r>
    </w:p>
  </w:endnote>
  <w:endnote w:type="continuationSeparator" w:id="0">
    <w:p w:rsidR="000B197B" w:rsidRDefault="000B1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DinTextPro-ExtraBlac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9DE" w:rsidRDefault="002D29D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9DE" w:rsidRDefault="002D29D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9DE" w:rsidRDefault="002D29D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97B" w:rsidRDefault="000B197B">
      <w:r>
        <w:separator/>
      </w:r>
    </w:p>
  </w:footnote>
  <w:footnote w:type="continuationSeparator" w:id="0">
    <w:p w:rsidR="000B197B" w:rsidRDefault="000B1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9DE" w:rsidRDefault="002D29D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780" w:rsidRDefault="002B5285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-60.25pt;margin-top:103.95pt;width:601.45pt;height:24.05pt;z-index:251667456;visibility:visible;mso-height-percent:200;mso-height-percent:200;mso-width-relative:margin;mso-height-relative:margin" fillcolor="#8db3e2 [1311]" strokecolor="#8db3e2 [1311]">
          <v:textbox style="mso-next-textbox:#_x0000_s4099;mso-fit-shape-to-text:t">
            <w:txbxContent>
              <w:p w:rsidR="002A1780" w:rsidRPr="002D29DE" w:rsidRDefault="00147F97" w:rsidP="002A1780">
                <w:pPr>
                  <w:jc w:val="center"/>
                  <w:rPr>
                    <w:sz w:val="28"/>
                  </w:rPr>
                </w:pPr>
                <w:r w:rsidRPr="002D29DE">
                  <w:rPr>
                    <w:sz w:val="28"/>
                  </w:rPr>
                  <w:t>Vorgehensweise in einem Verdachtsfall</w:t>
                </w:r>
              </w:p>
            </w:txbxContent>
          </v:textbox>
        </v:shape>
      </w:pict>
    </w:r>
    <w:r w:rsidR="002A1780" w:rsidRPr="002A1780"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-156845</wp:posOffset>
          </wp:positionH>
          <wp:positionV relativeFrom="paragraph">
            <wp:posOffset>-154305</wp:posOffset>
          </wp:positionV>
          <wp:extent cx="5972175" cy="1419225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2B5285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097" type="#_x0000_t202" style="position:absolute;margin-left:-73.25pt;margin-top:91.35pt;width:601.45pt;height:24.05pt;z-index:251664384;visibility:visible;mso-height-percent:200;mso-height-percent:200;mso-width-relative:margin;mso-height-relative:margin" fillcolor="#8db3e2 [1311]" strokecolor="#8db3e2 [1311]">
          <v:textbox style="mso-next-textbox:#Textfeld 2;mso-fit-shape-to-text:t">
            <w:txbxContent>
              <w:p w:rsidR="00360861" w:rsidRPr="002D29DE" w:rsidRDefault="00346CDD" w:rsidP="006C1BE8">
                <w:pPr>
                  <w:jc w:val="center"/>
                  <w:rPr>
                    <w:sz w:val="28"/>
                  </w:rPr>
                </w:pPr>
                <w:r w:rsidRPr="002D29DE">
                  <w:rPr>
                    <w:sz w:val="28"/>
                  </w:rPr>
                  <w:t xml:space="preserve">4. </w:t>
                </w:r>
                <w:r w:rsidR="00BF059E" w:rsidRPr="002D29DE">
                  <w:rPr>
                    <w:sz w:val="28"/>
                  </w:rPr>
                  <w:t>Vorgehensweise in einem Verdachtsfall</w:t>
                </w:r>
              </w:p>
            </w:txbxContent>
          </v:textbox>
        </v:shape>
      </w:pict>
    </w:r>
    <w:r w:rsidR="00A6185B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-310515</wp:posOffset>
          </wp:positionV>
          <wp:extent cx="5969000" cy="1416050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16DAC"/>
    <w:rsid w:val="00022912"/>
    <w:rsid w:val="00022EA2"/>
    <w:rsid w:val="00024A77"/>
    <w:rsid w:val="00025B92"/>
    <w:rsid w:val="000437EF"/>
    <w:rsid w:val="00043E06"/>
    <w:rsid w:val="000444CA"/>
    <w:rsid w:val="00052E57"/>
    <w:rsid w:val="00053729"/>
    <w:rsid w:val="000A57E9"/>
    <w:rsid w:val="000B197B"/>
    <w:rsid w:val="000C3993"/>
    <w:rsid w:val="000C5F40"/>
    <w:rsid w:val="000D3312"/>
    <w:rsid w:val="000F1AA0"/>
    <w:rsid w:val="000F1F48"/>
    <w:rsid w:val="000F23F9"/>
    <w:rsid w:val="000F35E1"/>
    <w:rsid w:val="000F4B02"/>
    <w:rsid w:val="000F5244"/>
    <w:rsid w:val="000F57F8"/>
    <w:rsid w:val="000F751C"/>
    <w:rsid w:val="00110608"/>
    <w:rsid w:val="00112E56"/>
    <w:rsid w:val="00125111"/>
    <w:rsid w:val="0012512A"/>
    <w:rsid w:val="00130F8C"/>
    <w:rsid w:val="00147F97"/>
    <w:rsid w:val="00150D51"/>
    <w:rsid w:val="001570FE"/>
    <w:rsid w:val="00163774"/>
    <w:rsid w:val="00164B26"/>
    <w:rsid w:val="00171B3B"/>
    <w:rsid w:val="001740BC"/>
    <w:rsid w:val="0017685B"/>
    <w:rsid w:val="00177D84"/>
    <w:rsid w:val="0018617E"/>
    <w:rsid w:val="001878D3"/>
    <w:rsid w:val="001A27CE"/>
    <w:rsid w:val="001A3D31"/>
    <w:rsid w:val="001A4294"/>
    <w:rsid w:val="001C1226"/>
    <w:rsid w:val="001D149E"/>
    <w:rsid w:val="001D7E2A"/>
    <w:rsid w:val="00202FDA"/>
    <w:rsid w:val="00204587"/>
    <w:rsid w:val="00243E77"/>
    <w:rsid w:val="002447D5"/>
    <w:rsid w:val="002637E5"/>
    <w:rsid w:val="00270E96"/>
    <w:rsid w:val="00280131"/>
    <w:rsid w:val="00281A84"/>
    <w:rsid w:val="00285CC2"/>
    <w:rsid w:val="00295C63"/>
    <w:rsid w:val="00296E79"/>
    <w:rsid w:val="002A1780"/>
    <w:rsid w:val="002B1456"/>
    <w:rsid w:val="002B4D33"/>
    <w:rsid w:val="002B5285"/>
    <w:rsid w:val="002C2EBF"/>
    <w:rsid w:val="002C52A2"/>
    <w:rsid w:val="002C6D1E"/>
    <w:rsid w:val="002D29DE"/>
    <w:rsid w:val="002E0580"/>
    <w:rsid w:val="002E0B10"/>
    <w:rsid w:val="002F1B1D"/>
    <w:rsid w:val="002F61B6"/>
    <w:rsid w:val="003157B9"/>
    <w:rsid w:val="00316F8A"/>
    <w:rsid w:val="0034162F"/>
    <w:rsid w:val="00345EC8"/>
    <w:rsid w:val="00346CDD"/>
    <w:rsid w:val="003513FB"/>
    <w:rsid w:val="00353AD1"/>
    <w:rsid w:val="00356EDD"/>
    <w:rsid w:val="00356F9B"/>
    <w:rsid w:val="00360861"/>
    <w:rsid w:val="00371C6A"/>
    <w:rsid w:val="0037538B"/>
    <w:rsid w:val="003847B5"/>
    <w:rsid w:val="003B24FE"/>
    <w:rsid w:val="003B50CC"/>
    <w:rsid w:val="003F1953"/>
    <w:rsid w:val="00405F1B"/>
    <w:rsid w:val="00406985"/>
    <w:rsid w:val="004326C2"/>
    <w:rsid w:val="0044193E"/>
    <w:rsid w:val="004A137F"/>
    <w:rsid w:val="004C73FA"/>
    <w:rsid w:val="004C7A38"/>
    <w:rsid w:val="004E23F9"/>
    <w:rsid w:val="004F0257"/>
    <w:rsid w:val="004F153B"/>
    <w:rsid w:val="004F72F3"/>
    <w:rsid w:val="0050264F"/>
    <w:rsid w:val="00507A3C"/>
    <w:rsid w:val="00531547"/>
    <w:rsid w:val="005429BA"/>
    <w:rsid w:val="00544DC7"/>
    <w:rsid w:val="00561974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59"/>
    <w:rsid w:val="0061564E"/>
    <w:rsid w:val="00624E40"/>
    <w:rsid w:val="0063205D"/>
    <w:rsid w:val="006407A1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A0F99"/>
    <w:rsid w:val="006C1BE8"/>
    <w:rsid w:val="006C737F"/>
    <w:rsid w:val="006C7A7E"/>
    <w:rsid w:val="006D7580"/>
    <w:rsid w:val="006F75B5"/>
    <w:rsid w:val="00702616"/>
    <w:rsid w:val="0070317B"/>
    <w:rsid w:val="00711C9F"/>
    <w:rsid w:val="00711FCD"/>
    <w:rsid w:val="00712379"/>
    <w:rsid w:val="00721757"/>
    <w:rsid w:val="00721E44"/>
    <w:rsid w:val="007409F6"/>
    <w:rsid w:val="00743BAB"/>
    <w:rsid w:val="00752739"/>
    <w:rsid w:val="0075746B"/>
    <w:rsid w:val="0076322F"/>
    <w:rsid w:val="0077675E"/>
    <w:rsid w:val="00780717"/>
    <w:rsid w:val="0079462B"/>
    <w:rsid w:val="00795A78"/>
    <w:rsid w:val="007A3466"/>
    <w:rsid w:val="007A5A49"/>
    <w:rsid w:val="007A75C6"/>
    <w:rsid w:val="007E065B"/>
    <w:rsid w:val="007F483C"/>
    <w:rsid w:val="007F4A18"/>
    <w:rsid w:val="0080687E"/>
    <w:rsid w:val="00822E15"/>
    <w:rsid w:val="00833BEF"/>
    <w:rsid w:val="00835ADE"/>
    <w:rsid w:val="008404B3"/>
    <w:rsid w:val="00843558"/>
    <w:rsid w:val="00854A5C"/>
    <w:rsid w:val="00862808"/>
    <w:rsid w:val="00864199"/>
    <w:rsid w:val="00875E97"/>
    <w:rsid w:val="008908C2"/>
    <w:rsid w:val="008B0834"/>
    <w:rsid w:val="008B5161"/>
    <w:rsid w:val="008D20BC"/>
    <w:rsid w:val="008D5231"/>
    <w:rsid w:val="008E7054"/>
    <w:rsid w:val="00906A50"/>
    <w:rsid w:val="0091462A"/>
    <w:rsid w:val="00924991"/>
    <w:rsid w:val="009259CF"/>
    <w:rsid w:val="009505A8"/>
    <w:rsid w:val="009558EF"/>
    <w:rsid w:val="00956A58"/>
    <w:rsid w:val="00960192"/>
    <w:rsid w:val="00960D6E"/>
    <w:rsid w:val="009673AB"/>
    <w:rsid w:val="009824B6"/>
    <w:rsid w:val="009B2A47"/>
    <w:rsid w:val="009C68A3"/>
    <w:rsid w:val="009E1153"/>
    <w:rsid w:val="009E4833"/>
    <w:rsid w:val="009F354E"/>
    <w:rsid w:val="00A002DC"/>
    <w:rsid w:val="00A11A0C"/>
    <w:rsid w:val="00A444FF"/>
    <w:rsid w:val="00A55D42"/>
    <w:rsid w:val="00A5799B"/>
    <w:rsid w:val="00A60E77"/>
    <w:rsid w:val="00A6185B"/>
    <w:rsid w:val="00A71EEB"/>
    <w:rsid w:val="00A82700"/>
    <w:rsid w:val="00A869F5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7855"/>
    <w:rsid w:val="00B22E82"/>
    <w:rsid w:val="00B23998"/>
    <w:rsid w:val="00B366F9"/>
    <w:rsid w:val="00B415EA"/>
    <w:rsid w:val="00B46E5C"/>
    <w:rsid w:val="00B500AD"/>
    <w:rsid w:val="00B53217"/>
    <w:rsid w:val="00B56FAB"/>
    <w:rsid w:val="00B570EB"/>
    <w:rsid w:val="00B64501"/>
    <w:rsid w:val="00B73577"/>
    <w:rsid w:val="00B736C5"/>
    <w:rsid w:val="00B77C09"/>
    <w:rsid w:val="00B86D62"/>
    <w:rsid w:val="00BA4593"/>
    <w:rsid w:val="00BC3F63"/>
    <w:rsid w:val="00BD3A7F"/>
    <w:rsid w:val="00BE07F0"/>
    <w:rsid w:val="00BF059E"/>
    <w:rsid w:val="00C01D63"/>
    <w:rsid w:val="00C02C93"/>
    <w:rsid w:val="00C07E9B"/>
    <w:rsid w:val="00C10EE6"/>
    <w:rsid w:val="00C15A8A"/>
    <w:rsid w:val="00C350F4"/>
    <w:rsid w:val="00C37BBC"/>
    <w:rsid w:val="00C475DD"/>
    <w:rsid w:val="00C54A7E"/>
    <w:rsid w:val="00C55B2B"/>
    <w:rsid w:val="00C560ED"/>
    <w:rsid w:val="00C905BD"/>
    <w:rsid w:val="00CB1ED0"/>
    <w:rsid w:val="00D15DEE"/>
    <w:rsid w:val="00D21C0D"/>
    <w:rsid w:val="00D258F0"/>
    <w:rsid w:val="00D26DE2"/>
    <w:rsid w:val="00D7398F"/>
    <w:rsid w:val="00D808F1"/>
    <w:rsid w:val="00DA0985"/>
    <w:rsid w:val="00DA3665"/>
    <w:rsid w:val="00DB2C17"/>
    <w:rsid w:val="00DC0455"/>
    <w:rsid w:val="00DD6B56"/>
    <w:rsid w:val="00DE2018"/>
    <w:rsid w:val="00DF0ADA"/>
    <w:rsid w:val="00DF1393"/>
    <w:rsid w:val="00E0765F"/>
    <w:rsid w:val="00E205E0"/>
    <w:rsid w:val="00E36795"/>
    <w:rsid w:val="00E662F4"/>
    <w:rsid w:val="00E66D28"/>
    <w:rsid w:val="00E66FA8"/>
    <w:rsid w:val="00E70D8B"/>
    <w:rsid w:val="00E750EC"/>
    <w:rsid w:val="00E80F5C"/>
    <w:rsid w:val="00E94EE3"/>
    <w:rsid w:val="00EA3867"/>
    <w:rsid w:val="00EA7769"/>
    <w:rsid w:val="00EC1F90"/>
    <w:rsid w:val="00EC7302"/>
    <w:rsid w:val="00ED1271"/>
    <w:rsid w:val="00ED4915"/>
    <w:rsid w:val="00EE3E9A"/>
    <w:rsid w:val="00EE7E08"/>
    <w:rsid w:val="00F01A22"/>
    <w:rsid w:val="00F0534B"/>
    <w:rsid w:val="00F11A17"/>
    <w:rsid w:val="00F20B1F"/>
    <w:rsid w:val="00F21F84"/>
    <w:rsid w:val="00F50E93"/>
    <w:rsid w:val="00F632AA"/>
    <w:rsid w:val="00F67A2C"/>
    <w:rsid w:val="00F71895"/>
    <w:rsid w:val="00F9016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616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50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8</cp:revision>
  <cp:lastPrinted>2021-04-13T11:39:00Z</cp:lastPrinted>
  <dcterms:created xsi:type="dcterms:W3CDTF">2021-04-14T17:54:00Z</dcterms:created>
  <dcterms:modified xsi:type="dcterms:W3CDTF">2021-09-19T14:03:00Z</dcterms:modified>
</cp:coreProperties>
</file>